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19036.xml.htm"/>
      <w:bookmarkStart w:id="1" w:name="kswkform4_17894190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Sahin Ugur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BIONTECH SE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 DER GOLDGRUBE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MAINZ</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D-55131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GERMANY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BioNTech SE</w:t>
              </w:r>
            </w:hyperlink>
            <w:r>
              <w:rPr/>
              <w:t xml:space="preserve"> [ </w:t>
            </w:r>
            <w:r>
              <w:rPr>
                <w:rFonts w:ascii="Times;serif" w:hAnsi="Times;serif"/>
                <w:color w:val="0000FF"/>
                <w:sz w:val="24"/>
                <w:shd w:fill="FFFFFF" w:val="clear"/>
              </w:rPr>
              <w:t>BNTX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00"/>
        <w:gridCol w:w="772"/>
        <w:gridCol w:w="597"/>
        <w:gridCol w:w="336"/>
        <w:gridCol w:w="897"/>
        <w:gridCol w:w="420"/>
        <w:gridCol w:w="923"/>
        <w:gridCol w:w="1327"/>
        <w:gridCol w:w="954"/>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96.9338</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643,209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99.4467</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602,209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39,218,111</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are held by Medine GmbH. The reporting person is the sole shareholder of Medine GmbH. 106,721 of the ordinary shares noted herein are held for the benefit of an individual under a trust arrangement, pursuant to which Medine GmbH exercises voting power, but not dispositive power, over such ordinary shares for so long as such ordinary shares are held in trust. The reporting person may be deemed to beneficially own the ordinary shares held by Medine GmbH.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sales reported on this Form 4 were effected pursuant to a Rule 10b5-1 trading plan established by the reporting person on June 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Humza Bokhari,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23975" TargetMode="External"/><Relationship Id="rId5" Type="http://schemas.openxmlformats.org/officeDocument/2006/relationships/hyperlink" Target="http://www.sec.gov/cgi-bin/browse-edgar?action=getcompany&amp;CIK=0001776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3697</Characters>
  <CharactersWithSpaces>4302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