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25"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FEBRUARY 2021</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D-55131 Mainz</w:t>
      </w: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175" w:lineRule="exact"/>
        <w:rPr>
          <w:sz w:val="24"/>
          <w:szCs w:val="24"/>
          <w:color w:val="auto"/>
        </w:rPr>
      </w:pPr>
    </w:p>
    <w:p>
      <w:pPr>
        <w:spacing w:after="0" w:line="298"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3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On February 8, 2021, BioNTech SE (the “Company”) and Pfizer Inc. announced the publication in </w:t>
      </w:r>
      <w:r>
        <w:rPr>
          <w:rFonts w:ascii="Times New Roman" w:cs="Times New Roman" w:eastAsia="Times New Roman" w:hAnsi="Times New Roman"/>
          <w:sz w:val="22"/>
          <w:szCs w:val="22"/>
          <w:i w:val="1"/>
          <w:iCs w:val="1"/>
          <w:u w:val="single" w:color="auto"/>
          <w:color w:val="auto"/>
        </w:rPr>
        <w:t>Nature Medicine</w:t>
      </w:r>
      <w:r>
        <w:rPr>
          <w:rFonts w:ascii="Times New Roman" w:cs="Times New Roman" w:eastAsia="Times New Roman" w:hAnsi="Times New Roman"/>
          <w:sz w:val="22"/>
          <w:szCs w:val="22"/>
          <w:color w:val="auto"/>
        </w:rPr>
        <w:t xml:space="preserve"> of data from </w:t>
      </w:r>
      <w:r>
        <w:rPr>
          <w:rFonts w:ascii="Times New Roman" w:cs="Times New Roman" w:eastAsia="Times New Roman" w:hAnsi="Times New Roman"/>
          <w:sz w:val="22"/>
          <w:szCs w:val="22"/>
          <w:i w:val="1"/>
          <w:iCs w:val="1"/>
          <w:color w:val="auto"/>
        </w:rPr>
        <w:t xml:space="preserve">in vitro </w:t>
      </w:r>
      <w:r>
        <w:rPr>
          <w:rFonts w:ascii="Times New Roman" w:cs="Times New Roman" w:eastAsia="Times New Roman" w:hAnsi="Times New Roman"/>
          <w:sz w:val="22"/>
          <w:szCs w:val="22"/>
          <w:color w:val="auto"/>
        </w:rPr>
        <w:t>studies that demonstrate that sera from individuals vaccinated with the Pfizer-BioNTech COVID-19 vaccine neutralize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SARS-CoV-2 with key mutations present in the United Kingdom (U.K.) and South African variants.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892175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ind w:firstLine="802"/>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15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280"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10795</wp:posOffset>
            </wp:positionV>
            <wp:extent cx="3188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ind w:left="6220"/>
        <w:spacing w:after="0"/>
        <w:rPr>
          <w:sz w:val="20"/>
          <w:szCs w:val="20"/>
          <w:color w:val="auto"/>
        </w:rPr>
      </w:pPr>
      <w:r>
        <w:rPr>
          <w:rFonts w:ascii="Times New Roman" w:cs="Times New Roman" w:eastAsia="Times New Roman" w:hAnsi="Times New Roman"/>
          <w:sz w:val="22"/>
          <w:szCs w:val="22"/>
          <w:color w:val="auto"/>
        </w:rPr>
        <w:t>Name: Dr. Sierk Poetting</w:t>
      </w:r>
    </w:p>
    <w:p>
      <w:pPr>
        <w:ind w:left="6220"/>
        <w:spacing w:after="0" w:line="230" w:lineRule="auto"/>
        <w:rPr>
          <w:sz w:val="20"/>
          <w:szCs w:val="20"/>
          <w:color w:val="auto"/>
        </w:rPr>
      </w:pPr>
      <w:r>
        <w:rPr>
          <w:rFonts w:ascii="Times New Roman" w:cs="Times New Roman" w:eastAsia="Times New Roman" w:hAnsi="Times New Roman"/>
          <w:sz w:val="22"/>
          <w:szCs w:val="22"/>
          <w:color w:val="auto"/>
        </w:rPr>
        <w:t>Title:  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25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233" w:lineRule="exact"/>
        <w:rPr>
          <w:sz w:val="20"/>
          <w:szCs w:val="20"/>
          <w:color w:val="auto"/>
        </w:rPr>
      </w:pPr>
    </w:p>
    <w:p>
      <w:pPr>
        <w:ind w:left="1260" w:hanging="1241"/>
        <w:spacing w:after="0" w:line="258" w:lineRule="auto"/>
        <w:tabs>
          <w:tab w:leader="none" w:pos="124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99.1</w:t>
      </w:r>
      <w:r>
        <w:rPr>
          <w:sz w:val="20"/>
          <w:szCs w:val="20"/>
          <w:color w:val="auto"/>
        </w:rPr>
        <w:tab/>
      </w:r>
      <w:hyperlink w:anchor="page5">
        <w:r>
          <w:rPr>
            <w:rFonts w:ascii="Times New Roman" w:cs="Times New Roman" w:eastAsia="Times New Roman" w:hAnsi="Times New Roman"/>
            <w:sz w:val="22"/>
            <w:szCs w:val="22"/>
            <w:u w:val="single" w:color="auto"/>
            <w:color w:val="0000EE"/>
          </w:rPr>
          <w:t>Pfizer and BioNTech Publish Data from In Vitro Studies in Nature Medicine Demonstrating COVID-19 Vaccine</w:t>
        </w:r>
      </w:hyperlink>
      <w:r>
        <w:rPr>
          <w:rFonts w:ascii="Times New Roman" w:cs="Times New Roman" w:eastAsia="Times New Roman" w:hAnsi="Times New Roman"/>
          <w:sz w:val="22"/>
          <w:szCs w:val="22"/>
          <w:u w:val="single" w:color="auto"/>
          <w:color w:val="0000EE"/>
        </w:rPr>
        <w:t xml:space="preserve"> </w:t>
      </w:r>
      <w:hyperlink w:anchor="page5">
        <w:r>
          <w:rPr>
            <w:rFonts w:ascii="Times New Roman" w:cs="Times New Roman" w:eastAsia="Times New Roman" w:hAnsi="Times New Roman"/>
            <w:sz w:val="22"/>
            <w:szCs w:val="22"/>
            <w:u w:val="single" w:color="auto"/>
            <w:color w:val="0000EE"/>
          </w:rPr>
          <w:t>Elicits Antibodies that Neutralize SARS-CoV-2 with Key Mutations Present in U.K. and South African Variants.</w:t>
        </w:r>
      </w:hyperlink>
    </w:p>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448435" cy="574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57404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205740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340" w:right="200"/>
        <w:spacing w:after="0" w:line="278" w:lineRule="auto"/>
        <w:rPr>
          <w:sz w:val="20"/>
          <w:szCs w:val="20"/>
          <w:color w:val="auto"/>
        </w:rPr>
      </w:pPr>
      <w:r>
        <w:rPr>
          <w:rFonts w:ascii="Arial" w:cs="Arial" w:eastAsia="Arial" w:hAnsi="Arial"/>
          <w:sz w:val="20"/>
          <w:szCs w:val="20"/>
          <w:b w:val="1"/>
          <w:bCs w:val="1"/>
          <w:color w:val="auto"/>
        </w:rPr>
        <w:t xml:space="preserve">Pfizer and BioNTech Publish Data from In Vitro Studies in </w:t>
      </w:r>
      <w:r>
        <w:rPr>
          <w:rFonts w:ascii="Arial" w:cs="Arial" w:eastAsia="Arial" w:hAnsi="Arial"/>
          <w:sz w:val="20"/>
          <w:szCs w:val="20"/>
          <w:b w:val="1"/>
          <w:bCs w:val="1"/>
          <w:i w:val="1"/>
          <w:iCs w:val="1"/>
          <w:color w:val="auto"/>
        </w:rPr>
        <w:t>Nature Medicine</w:t>
      </w:r>
      <w:r>
        <w:rPr>
          <w:rFonts w:ascii="Arial" w:cs="Arial" w:eastAsia="Arial" w:hAnsi="Arial"/>
          <w:sz w:val="20"/>
          <w:szCs w:val="20"/>
          <w:b w:val="1"/>
          <w:bCs w:val="1"/>
          <w:color w:val="auto"/>
        </w:rPr>
        <w:t xml:space="preserve"> Demonstrating COVID-19 Vaccine Elicits Antibodies that Neutralize SARS-CoV-2 with Key Mutations Present in U.K. and South African Variants</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New York, NY and Mainz, Germany, February 8,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Pfizer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PFE)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BioNTech SE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BNTX) today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publication in </w:t>
      </w:r>
      <w:r>
        <w:rPr>
          <w:rFonts w:ascii="Arial" w:cs="Arial" w:eastAsia="Arial" w:hAnsi="Arial"/>
          <w:sz w:val="18"/>
          <w:szCs w:val="18"/>
          <w:i w:val="1"/>
          <w:iCs w:val="1"/>
          <w:u w:val="single" w:color="auto"/>
          <w:color w:val="auto"/>
        </w:rPr>
        <w:t>Nature Medicine</w:t>
      </w:r>
      <w:r>
        <w:rPr>
          <w:rFonts w:ascii="Arial" w:cs="Arial" w:eastAsia="Arial" w:hAnsi="Arial"/>
          <w:sz w:val="18"/>
          <w:szCs w:val="18"/>
          <w:color w:val="auto"/>
        </w:rPr>
        <w:t xml:space="preserve"> of data from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that demonstrate that sera from individuals vaccinated with the Pfizer-BioNTech COVID-19 vaccine neutralize SARS-CoV-2 with key mutations present in the United Kingdom (U.K.) and South African variants. These data, based on studies conducted by Pfizer and the University of Texas Medical Branch (UTMB), were initially made available to the public on January 27, 2021 via the online preprint server, </w:t>
      </w:r>
      <w:r>
        <w:rPr>
          <w:rFonts w:ascii="Arial" w:cs="Arial" w:eastAsia="Arial" w:hAnsi="Arial"/>
          <w:sz w:val="18"/>
          <w:szCs w:val="18"/>
          <w:u w:val="single" w:color="auto"/>
          <w:color w:val="auto"/>
        </w:rPr>
        <w:t>bioRxiv</w:t>
      </w:r>
      <w:r>
        <w:rPr>
          <w:rFonts w:ascii="Arial" w:cs="Arial" w:eastAsia="Arial" w:hAnsi="Arial"/>
          <w:sz w:val="18"/>
          <w:szCs w:val="18"/>
          <w:color w:val="auto"/>
        </w:rPr>
        <w:t xml:space="preserve">. For additional details, please read the previously issued </w:t>
      </w:r>
      <w:r>
        <w:rPr>
          <w:rFonts w:ascii="Arial" w:cs="Arial" w:eastAsia="Arial" w:hAnsi="Arial"/>
          <w:sz w:val="18"/>
          <w:szCs w:val="18"/>
          <w:u w:val="single" w:color="auto"/>
          <w:color w:val="auto"/>
        </w:rPr>
        <w:t>press release</w:t>
      </w:r>
      <w:r>
        <w:rPr>
          <w:rFonts w:ascii="Arial" w:cs="Arial" w:eastAsia="Arial" w:hAnsi="Arial"/>
          <w:sz w:val="18"/>
          <w:szCs w:val="18"/>
          <w:color w:val="auto"/>
        </w:rPr>
        <w:t>.</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The Pfizer-BioNTech COVID-19 Vaccine has not been approved or licensed by the U.S. Food and Drug Administration (FDA), but has been authorized for emergency use by FDA under an Emergency Use Authorization (EUA) to prevent Coronavirus Disease 2019 (COVID-19) for use in individuals 16 years of age and older. The emergency use of this product is only authorized for the duration of the declaration that circumstances exist justifying the authorization of emergency use of the medical product under Section 564 (b) (1) of the FD&amp;C Act unless the declaration is terminated or authorization revoked sooner. Please see Emergency Use Authorization (EUA) Fact Sheet for Healthcare Providers Administering Vaccine (Vaccination Providers) including Full EUA Prescribing Information available at </w:t>
      </w:r>
      <w:r>
        <w:rPr>
          <w:rFonts w:ascii="Arial" w:cs="Arial" w:eastAsia="Arial" w:hAnsi="Arial"/>
          <w:sz w:val="18"/>
          <w:szCs w:val="18"/>
          <w:u w:val="single" w:color="auto"/>
          <w:color w:val="auto"/>
        </w:rPr>
        <w:t>www.cvdvaccine.com</w:t>
      </w:r>
      <w:r>
        <w:rPr>
          <w:rFonts w:ascii="Arial" w:cs="Arial" w:eastAsia="Arial" w:hAnsi="Arial"/>
          <w:sz w:val="18"/>
          <w:szCs w:val="18"/>
          <w:color w:val="auto"/>
        </w:rPr>
        <w:t>.</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vaccine, which is based on BioNTech’s proprietary mRNA technology, was developed by both BioNTech and Pfizer, and the marketing authorization holder is BioNTech in the United States, Europe, U.K., Canada, and other countries.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USE IN THE U.S.: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Pfizer-BioNTech COVID-19 Vaccine is authorized for use under an Emergency Use Authorization (EUA) for active immunization to prevent coronavirus disease 2019 (COVID-19) caused by severe acute respiratory syndrome coronavirus 2 (SARS-CoV-2) in individuals 16 years of age and older.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 FROM U.S. FDA EMERGENCY USE AUTHORIZATION PRESCRIBING INFORMATION:</w:t>
      </w:r>
    </w:p>
    <w:p>
      <w:pPr>
        <w:spacing w:after="0" w:line="214" w:lineRule="exact"/>
        <w:rPr>
          <w:sz w:val="20"/>
          <w:szCs w:val="20"/>
          <w:color w:val="auto"/>
        </w:rPr>
      </w:pPr>
    </w:p>
    <w:p>
      <w:pPr>
        <w:ind w:left="900" w:right="20" w:hanging="447"/>
        <w:spacing w:after="0" w:line="247" w:lineRule="auto"/>
        <w:tabs>
          <w:tab w:leader="none" w:pos="9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Do not administer Pfizer-BioNTech COVID-19 Vaccine to individuals with known history of a severe allergic reaction (e.g., anaphylaxis) to any component of the Pfizer-BioNTech COVID-19 Vaccine</w:t>
      </w:r>
    </w:p>
    <w:p>
      <w:pPr>
        <w:ind w:left="900" w:hanging="447"/>
        <w:spacing w:after="0" w:line="234" w:lineRule="auto"/>
        <w:tabs>
          <w:tab w:leader="none" w:pos="9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medical treatment used to manage immediate allergic reactions must be immediately available in the event an acute anaphylactic reaction occurs following administration of Pfizer-BioNTech COVID-19 Vaccine</w:t>
      </w:r>
    </w:p>
    <w:p>
      <w:pPr>
        <w:ind w:left="900" w:hanging="447"/>
        <w:spacing w:after="0" w:line="234" w:lineRule="auto"/>
        <w:tabs>
          <w:tab w:leader="none" w:pos="9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Monitor Pfizer-BioNTech COVID-19 Vaccine recipients for the occurrence of immediate adverse reactions according to the Centers for Disease Control and Prevention guidelines (https://www.cdc.gov/vaccines/covid-19/)</w:t>
      </w:r>
    </w:p>
    <w:p>
      <w:pPr>
        <w:ind w:left="900" w:hanging="447"/>
        <w:spacing w:after="0" w:line="234" w:lineRule="auto"/>
        <w:tabs>
          <w:tab w:leader="none" w:pos="9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Immunocompromised persons, including individuals receiving immunosuppressant therapy, may have a diminished immune response to the Pfizer-BioNTech COVID-19 Vaccine</w:t>
      </w:r>
    </w:p>
    <w:p>
      <w:pPr>
        <w:ind w:left="900" w:hanging="447"/>
        <w:spacing w:after="0"/>
        <w:tabs>
          <w:tab w:leader="none" w:pos="9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The Pfizer-BioNTech COVID-19 Vaccine may not protect all vaccine recipients</w:t>
      </w:r>
    </w:p>
    <w:p>
      <w:pPr>
        <w:spacing w:after="0" w:line="13" w:lineRule="exact"/>
        <w:rPr>
          <w:rFonts w:ascii="Times New Roman" w:cs="Times New Roman" w:eastAsia="Times New Roman" w:hAnsi="Times New Roman"/>
          <w:sz w:val="18"/>
          <w:szCs w:val="18"/>
          <w:color w:val="auto"/>
        </w:rPr>
      </w:pPr>
    </w:p>
    <w:p>
      <w:pPr>
        <w:jc w:val="both"/>
        <w:ind w:left="900" w:hanging="447"/>
        <w:spacing w:after="0" w:line="255" w:lineRule="auto"/>
        <w:tabs>
          <w:tab w:leader="none" w:pos="9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In clinical studies, adverse reactions in participants 16 years of age and older included pain at the injection site (84.1%), fatigue (62.9%), headache (55.1%), muscle pain (38.3%), chills (31.9%), joint pain (23.6%), fever (14.2%), injection site swelling (10.5%), injection site redness (9.5%), nausea (1.1%), malaise (0.5%), and lymphadenopathy (0.3%)</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both"/>
        <w:ind w:left="900" w:hanging="447"/>
        <w:spacing w:after="0" w:line="243" w:lineRule="auto"/>
        <w:tabs>
          <w:tab w:leader="none" w:pos="9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Severe allergic reactions, including anaphylaxis, have been reported following the Pfizer-BioNTech COVID-19 Vaccine during mass vaccination outside of clinical trials. Additional adverse reactions, some of which may be serious, may become apparent with more widespread use of the Pfizer-BioNTech COVID-19 Vaccine</w:t>
      </w:r>
    </w:p>
    <w:p>
      <w:pPr>
        <w:spacing w:after="0" w:line="1" w:lineRule="exact"/>
        <w:rPr>
          <w:rFonts w:ascii="Times New Roman" w:cs="Times New Roman" w:eastAsia="Times New Roman" w:hAnsi="Times New Roman"/>
          <w:sz w:val="18"/>
          <w:szCs w:val="18"/>
          <w:color w:val="auto"/>
        </w:rPr>
      </w:pPr>
    </w:p>
    <w:p>
      <w:pPr>
        <w:ind w:left="900" w:hanging="447"/>
        <w:spacing w:after="0" w:line="234" w:lineRule="auto"/>
        <w:tabs>
          <w:tab w:leader="none" w:pos="9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Available data on Pfizer-BioNTech COVID-19 Vaccine administered to pregnant women are insufficient to inform vaccine-associated risks in pregnancy</w:t>
      </w:r>
    </w:p>
    <w:p>
      <w:pPr>
        <w:ind w:left="900" w:hanging="447"/>
        <w:spacing w:after="0" w:line="234" w:lineRule="auto"/>
        <w:tabs>
          <w:tab w:leader="none" w:pos="9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Data are not available to assess the effects of Pfizer-BioNTech COVID-19 Vaccine on the breastfed infant or on milk production/excretion</w:t>
      </w:r>
    </w:p>
    <w:p>
      <w:pPr>
        <w:jc w:val="both"/>
        <w:ind w:left="900" w:hanging="447"/>
        <w:spacing w:after="0" w:line="234" w:lineRule="auto"/>
        <w:tabs>
          <w:tab w:leader="none" w:pos="9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There are no data available on the interchangeability of the Pfizer-BioNTech COVID-19 Vaccine with other COVID-19 vaccines to complete the vaccination series. Individuals who have received one dose of Pfizer-BioNTech COVID-19 Vaccine should receive a second dose of Pfizer-BioNTech COVID-19 Vaccine to complete the vaccination series</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34" w:lineRule="auto"/>
        <w:tabs>
          <w:tab w:leader="none" w:pos="9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Vaccination providers must report Adverse Events in accordance with the Fact Sheet to VAERS at https://vaers.hhs.gov/reportevent.html or by calling 1-800-822-7967. The reports should include the words “Pfizer-BioNTech COVID-19 Vaccine EUA” in the description section of the report</w:t>
      </w:r>
    </w:p>
    <w:p>
      <w:pPr>
        <w:spacing w:after="0" w:line="1" w:lineRule="exact"/>
        <w:rPr>
          <w:rFonts w:ascii="Times New Roman" w:cs="Times New Roman" w:eastAsia="Times New Roman" w:hAnsi="Times New Roman"/>
          <w:sz w:val="18"/>
          <w:szCs w:val="18"/>
          <w:color w:val="auto"/>
        </w:rPr>
      </w:pPr>
    </w:p>
    <w:p>
      <w:pPr>
        <w:ind w:left="900" w:hanging="447"/>
        <w:spacing w:after="0" w:line="234" w:lineRule="auto"/>
        <w:tabs>
          <w:tab w:leader="none" w:pos="9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Vaccination providers should review the Fact Sheet for Information to Provide to Vaccine Recipients/Caregivers and Mandatory Requirements for Pfizer-BioNTech COVID-19 Vaccine Administration Under Emergency Use Authorization</w:t>
      </w:r>
    </w:p>
    <w:p>
      <w:pPr>
        <w:ind w:left="900" w:right="20" w:hanging="447"/>
        <w:spacing w:after="0" w:line="249" w:lineRule="auto"/>
        <w:tabs>
          <w:tab w:leader="none" w:pos="9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Please see Emergency Use Authorization (EUA) Fact Sheet for Healthcare Providers Administering Vaccine (Vaccination Providers) including Full EUA Prescribing Information available at www.cvdvaccine-us.com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Pfizer: Breakthroughs That Change Patients’ Lives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more than 150 years, we have worked to make a difference for all who rely on us. We routinely post information that may be important to investors on our website at </w:t>
      </w:r>
      <w:r>
        <w:rPr>
          <w:rFonts w:ascii="Arial" w:cs="Arial" w:eastAsia="Arial" w:hAnsi="Arial"/>
          <w:sz w:val="18"/>
          <w:szCs w:val="18"/>
          <w:u w:val="single" w:color="auto"/>
          <w:color w:val="0563C1"/>
        </w:rPr>
        <w:t>www.Pfizer.com</w:t>
      </w:r>
      <w:r>
        <w:rPr>
          <w:rFonts w:ascii="Arial" w:cs="Arial" w:eastAsia="Arial" w:hAnsi="Arial"/>
          <w:sz w:val="18"/>
          <w:szCs w:val="18"/>
          <w:color w:val="auto"/>
        </w:rPr>
        <w:t xml:space="preserve">. In addition, to learn more, please visit us on </w:t>
      </w:r>
      <w:r>
        <w:rPr>
          <w:rFonts w:ascii="Arial" w:cs="Arial" w:eastAsia="Arial" w:hAnsi="Arial"/>
          <w:sz w:val="18"/>
          <w:szCs w:val="18"/>
          <w:u w:val="single" w:color="auto"/>
          <w:color w:val="0563C1"/>
        </w:rPr>
        <w:t>www.Pfizer.com</w:t>
      </w:r>
      <w:r>
        <w:rPr>
          <w:rFonts w:ascii="Arial" w:cs="Arial" w:eastAsia="Arial" w:hAnsi="Arial"/>
          <w:sz w:val="18"/>
          <w:szCs w:val="18"/>
          <w:color w:val="auto"/>
        </w:rPr>
        <w:t xml:space="preserve"> and follow us on Twitter at </w:t>
      </w:r>
      <w:r>
        <w:rPr>
          <w:rFonts w:ascii="Arial" w:cs="Arial" w:eastAsia="Arial" w:hAnsi="Arial"/>
          <w:sz w:val="18"/>
          <w:szCs w:val="18"/>
          <w:u w:val="single" w:color="auto"/>
          <w:color w:val="auto"/>
        </w:rPr>
        <w:t>@Pfizer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@Pfizer News</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YouTube</w:t>
      </w:r>
      <w:r>
        <w:rPr>
          <w:rFonts w:ascii="Arial" w:cs="Arial" w:eastAsia="Arial" w:hAnsi="Arial"/>
          <w:sz w:val="18"/>
          <w:szCs w:val="18"/>
          <w:color w:val="auto"/>
        </w:rPr>
        <w:t xml:space="preserve"> and like us on Facebook at </w:t>
      </w:r>
      <w:r>
        <w:rPr>
          <w:rFonts w:ascii="Arial" w:cs="Arial" w:eastAsia="Arial" w:hAnsi="Arial"/>
          <w:sz w:val="18"/>
          <w:szCs w:val="18"/>
          <w:u w:val="single" w:color="auto"/>
          <w:color w:val="auto"/>
        </w:rPr>
        <w:t>Facebook.com/Pfizer</w:t>
      </w:r>
      <w:r>
        <w:rPr>
          <w:rFonts w:ascii="Arial" w:cs="Arial" w:eastAsia="Arial" w:hAnsi="Arial"/>
          <w:sz w:val="18"/>
          <w:szCs w:val="18"/>
          <w:color w:val="auto"/>
        </w:rPr>
        <w:t>.</w:t>
      </w:r>
    </w:p>
    <w:p>
      <w:pPr>
        <w:spacing w:after="0" w:line="39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Pfizer Disclosure Notice</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information contained in this release is as of February 8, 2021. Pfizer assumes no obligation to update forward-looking statements contained in this release as the result of new information or future events or developments.</w:t>
      </w:r>
    </w:p>
    <w:p>
      <w:pPr>
        <w:spacing w:after="0" w:line="1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information about Pfizer’s efforts to combat COVID-19, the collaboration between BioNTech and Pfizer to develop a COVID-19 vaccine, the BNT162 mRNA vaccine program and the Pfizer-BioNTech COVID-19 Vaccine (BNT162b2) (including qualitative assessments of available data, potential benefits, expectations for clinical trials, the anticipated timing of regulatory submissions, regulatory approval or authorization and anticipated manufacturing, distribution and supply) involving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in vitro and Phase 3 data), including the possibility of unfavorable new preclinical, clinical or safety data and further analyses of existing preclinical, clinical or safety data; the ability to produce comparable clinical or other results, including the rate of vaccine effectiveness and safety and tolerability profile observed to date, in additional analyses of the Phase 3 trial and additional studies or in larger, more diverse populations upon commercialization; the ability of BNT162b2 to prevent COVID-19 caused by emerging virus variants; the risk that more widespread use of the vaccine will lead to new information about efficacy, safety, or other developments, including the risk of additional adverse reactions, some of which may be serious; the risk that preclinical and clinical trial data are subject to differing interpretations and assessments, including during the peer review/publication process, in the scientific community generally, and by regulatory authorities; whether and when additional data from the BNT162 mRNA vaccine program will be published in scientific journal publications and, if so, when and with what modifications and interpretations; whether regulatory authorities will be satisfied with the design of and results from these and any future preclinical and clinical studies; whether and when a Biologics License Application for BNT162b2 may be filed in the U.S. and whether and when other biologics license and/or emergency use authorization applications may be filed in particular jurisdictions for BNT162b2 or any other potential vaccines that may arise from the BNT162 program, and if obtained, whether or when such emergency use authorization or licenses will expire or terminate; whether and when any applications that may be pending or filed for BNT162b2 (including a potential Biologics License Application in the U.S.) or other vaccines that may result from the BNT162 program may be approved by particular regulatory authorities, which will depend on myriad factors, including making a determination as to whether the vaccine’s benefits outweigh its known risks and determination of the vaccine’s efficacy and, if approved, whether it will be commercially successful; decisions by regulatory authorities impacting labeling or marketing, manufacturing processes, safety and/or other matters that could affect the availability or commercial potential of a vaccine, including development of products or therapies by other companies; disruptions in the relationships between us and our collaboration partners or third-party suppliers; risks related to the availability of raw materials to manufacture a vaccine; challenges related to our vaccine’s ultra-low temperature formulation and attendant storage, distribution and administration requirements, including risks related to storage and handling after delivery by Pfizer; the risk that we may not be able to successfully develop other vaccine formulations; the risk that we may not be able to create or scale up manufacturing capacity on a timely basis or maintain access to logistics or supply channels commensurate with global demand for our vaccine, which would negatively impact our ability to supply the estimated numbers of doses of our vaccine within the projected time periods as previously indicated; whether and when additional supply agreements will be reached; uncertainties regarding the ability to obtain recommendations from vaccine technical committees and other public health authorities and uncertainties regarding the commercial impact of any such recommendations; uncertainties regarding the impact of COVID-19 on Pfizer’s business, operations and financial results; and competitive developments.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jc w:val="both"/>
        <w:spacing w:after="0" w:line="249" w:lineRule="auto"/>
        <w:rPr>
          <w:sz w:val="20"/>
          <w:szCs w:val="20"/>
          <w:color w:val="auto"/>
        </w:rPr>
      </w:pPr>
      <w:r>
        <w:rPr>
          <w:rFonts w:ascii="Arial" w:cs="Arial" w:eastAsia="Arial" w:hAnsi="Arial"/>
          <w:sz w:val="18"/>
          <w:szCs w:val="18"/>
          <w:color w:val="auto"/>
        </w:rPr>
        <w:t>A further description of risks and uncertainties can be found in Pfizer’s Annual Report on Form 10-K for the fiscal year ended December 31, 2019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Biopharmaceutical New Technologies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Bayer Animal Health, Genentech, a member of the Roche Group, Regeneron, Genevant, Fosun Pharma, and Pfizer. For more information, please visit </w:t>
      </w:r>
      <w:r>
        <w:rPr>
          <w:rFonts w:ascii="Arial" w:cs="Arial" w:eastAsia="Arial" w:hAnsi="Arial"/>
          <w:sz w:val="18"/>
          <w:szCs w:val="18"/>
          <w:u w:val="single" w:color="auto"/>
          <w:color w:val="auto"/>
        </w:rPr>
        <w:t>www.BioNTech.de</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of BioNTech within the meaning of the Private Securities Litigation Reform Act of 1995. These forward-looking statements may include, but may not be limited to, statements concerning: BioNTech’s efforts to combat COVID-19; the collaboration between BioNTech and Pfizer to develop a potential COVID-19 vaccine; our expectations regarding the potential characteristics of BNT162b2 in our Phase 2/3 trial and/or in commercial use based on data observations to date; the ability of BNT162b2 to prevent COVID-19 caused by emerging virus variants, the expected time point for additional readouts on efficacy data of BNT162b2 in our Phase 2/3 trial; the nature of the clinical data, which is subject to ongoing peer review, regulatory review and market interpretation; the timing for submission of data for, or receipt of, any marketing approval or Emergency Use Authorization; our contemplated shipping and storage plan, including our estimated product shelf life at various temperatures; and the ability of BioNTech to supply the quantities of BNT162 to support clinical development and market demand, including our production estimates and 2021. Any forward-looking statements in this press release are based on BioNTech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the ability to meet the pre-defined endpoints in clinical trials; competition to create a vaccine for COVID-19; the ability to produce comparable clinical or other results, including our stated rate of vaccine effectiveness and safety and tolerability profile observed to date, in the remainder of the trial or in larger, more diverse populations upon commercialization; the ability to effectively scale our productions capabilities; and other potential difficulties.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a discussion of these and other risks and uncertainties, see BioNTech’s Quarterly Report for the Three and Nine Months Ended September 30, 2020, filed as Exhibit 99.2 to its Current Report on Form 6-K filed with the SEC on November 10, which is available on the SEC’s website at www.sec.gov. All information in this press release is as of the date of the release, and BioNTech undertakes no duty to update this information unless required by law.</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Pfizer: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Jerica Pitts</w:t>
      </w:r>
    </w:p>
    <w:p>
      <w:pPr>
        <w:spacing w:after="0" w:line="234" w:lineRule="auto"/>
        <w:rPr>
          <w:sz w:val="20"/>
          <w:szCs w:val="20"/>
          <w:color w:val="auto"/>
        </w:rPr>
      </w:pPr>
      <w:r>
        <w:rPr>
          <w:rFonts w:ascii="Arial" w:cs="Arial" w:eastAsia="Arial" w:hAnsi="Arial"/>
          <w:sz w:val="18"/>
          <w:szCs w:val="18"/>
          <w:color w:val="auto"/>
        </w:rPr>
        <w:t>+1 (347) 224-9084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Jerica.Pitts@pfizer.com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Chuck Triano</w:t>
      </w:r>
    </w:p>
    <w:p>
      <w:pPr>
        <w:spacing w:after="0" w:line="234" w:lineRule="auto"/>
        <w:rPr>
          <w:sz w:val="20"/>
          <w:szCs w:val="20"/>
          <w:color w:val="auto"/>
        </w:rPr>
      </w:pPr>
      <w:r>
        <w:rPr>
          <w:rFonts w:ascii="Arial" w:cs="Arial" w:eastAsia="Arial" w:hAnsi="Arial"/>
          <w:sz w:val="18"/>
          <w:szCs w:val="18"/>
          <w:color w:val="auto"/>
        </w:rPr>
        <w:t>+1 (212) 733-3901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Charles.E.Triano@Pfizer.com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234" w:lineRule="auto"/>
        <w:rPr>
          <w:sz w:val="20"/>
          <w:szCs w:val="20"/>
          <w:color w:val="auto"/>
        </w:rPr>
      </w:pPr>
      <w:r>
        <w:rPr>
          <w:rFonts w:ascii="Arial" w:cs="Arial" w:eastAsia="Arial" w:hAnsi="Arial"/>
          <w:sz w:val="18"/>
          <w:szCs w:val="18"/>
          <w:color w:val="auto"/>
        </w:rPr>
        <w:t>+49 (0)6131 9084-1513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Media@biontech.de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Sylke Maas, Ph.D.</w:t>
      </w:r>
    </w:p>
    <w:p>
      <w:pPr>
        <w:spacing w:after="0" w:line="234" w:lineRule="auto"/>
        <w:rPr>
          <w:sz w:val="20"/>
          <w:szCs w:val="20"/>
          <w:color w:val="auto"/>
        </w:rPr>
      </w:pPr>
      <w:r>
        <w:rPr>
          <w:rFonts w:ascii="Arial" w:cs="Arial" w:eastAsia="Arial" w:hAnsi="Arial"/>
          <w:sz w:val="18"/>
          <w:szCs w:val="18"/>
          <w:color w:val="auto"/>
        </w:rPr>
        <w:t>+49 (0)6131 9084 1074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2021-02-08T05:37:59Z</dcterms:created>
  <dcterms:modified xsi:type="dcterms:W3CDTF">2021-02-08T05:37:59Z</dcterms:modified>
</cp:coreProperties>
</file>